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4354338A" w14:textId="77777777" w:rsidR="00240FA6" w:rsidRDefault="00240FA6" w:rsidP="00240FA6">
      <w:pPr>
        <w:pStyle w:val="Heading2"/>
        <w:jc w:val="center"/>
        <w:rPr>
          <w:rFonts w:asciiTheme="minorHAnsi" w:hAnsiTheme="minorHAnsi" w:cstheme="minorHAnsi"/>
        </w:rPr>
      </w:pPr>
      <w:r w:rsidRPr="00EA6992">
        <w:rPr>
          <w:rFonts w:asciiTheme="minorHAnsi" w:hAnsiTheme="minorHAnsi" w:cstheme="minorHAnsi"/>
        </w:rPr>
        <w:t>WATERFOOT MEDICAL PRACTICE</w:t>
      </w:r>
    </w:p>
    <w:p w14:paraId="18579031" w14:textId="106D11E5" w:rsidR="00754729" w:rsidRPr="00BE2172" w:rsidRDefault="00EA6992" w:rsidP="00EA6992">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23E0551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240FA6" w:rsidRPr="00240FA6">
        <w:rPr>
          <w:rFonts w:ascii="Arial" w:eastAsia="Times New Roman" w:hAnsi="Arial" w:cs="Arial"/>
          <w:color w:val="333333"/>
          <w:sz w:val="24"/>
          <w:szCs w:val="24"/>
          <w:bdr w:val="none" w:sz="0" w:space="0" w:color="auto" w:frame="1"/>
          <w:shd w:val="clear" w:color="auto" w:fill="FFFFFF"/>
          <w:lang w:eastAsia="en-GB"/>
        </w:rPr>
        <w:t>Waterfoot Medical Practice</w:t>
      </w:r>
      <w:r w:rsidRPr="00240FA6">
        <w:rPr>
          <w:rFonts w:ascii="Arial" w:hAnsi="Arial" w:cs="Arial"/>
          <w:sz w:val="24"/>
          <w:szCs w:val="24"/>
        </w:rPr>
        <w:t>.</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35CEB0CF" w:rsidR="00265980" w:rsidRPr="001A20B9" w:rsidRDefault="00265980" w:rsidP="007C3ABC">
      <w:pPr>
        <w:spacing w:line="240" w:lineRule="auto"/>
        <w:rPr>
          <w:rFonts w:ascii="Arial" w:hAnsi="Arial" w:cs="Arial"/>
          <w:sz w:val="24"/>
          <w:szCs w:val="24"/>
        </w:rPr>
      </w:pPr>
      <w:r w:rsidRPr="001A20B9">
        <w:rPr>
          <w:rFonts w:ascii="Arial" w:hAnsi="Arial" w:cs="Arial"/>
          <w:sz w:val="24"/>
          <w:szCs w:val="24"/>
        </w:rPr>
        <w:t xml:space="preserve">For the purpose of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240FA6" w:rsidRPr="00240FA6">
        <w:rPr>
          <w:rFonts w:ascii="Arial" w:eastAsia="Times New Roman" w:hAnsi="Arial" w:cs="Arial"/>
          <w:color w:val="333333"/>
          <w:sz w:val="24"/>
          <w:szCs w:val="24"/>
          <w:bdr w:val="none" w:sz="0" w:space="0" w:color="auto" w:frame="1"/>
          <w:shd w:val="clear" w:color="auto" w:fill="FFFFFF"/>
          <w:lang w:eastAsia="en-GB"/>
        </w:rPr>
        <w:t>Waterfoot Medical Practice</w:t>
      </w:r>
      <w:r w:rsidRPr="001A20B9">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lastRenderedPageBreak/>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18221AF0" w:rsidR="00E37206" w:rsidRPr="001A20B9" w:rsidRDefault="00240FA6" w:rsidP="00E37206">
      <w:pPr>
        <w:widowControl w:val="0"/>
        <w:spacing w:after="280"/>
        <w:rPr>
          <w:rFonts w:ascii="Arial" w:hAnsi="Arial" w:cs="Arial"/>
          <w:sz w:val="24"/>
          <w:szCs w:val="24"/>
        </w:rPr>
      </w:pPr>
      <w:r w:rsidRPr="00240FA6">
        <w:rPr>
          <w:rFonts w:ascii="Arial" w:eastAsia="Times New Roman" w:hAnsi="Arial" w:cs="Arial"/>
          <w:color w:val="333333"/>
          <w:sz w:val="24"/>
          <w:szCs w:val="24"/>
          <w:bdr w:val="none" w:sz="0" w:space="0" w:color="auto" w:frame="1"/>
          <w:shd w:val="clear" w:color="auto" w:fill="FFFFFF"/>
          <w:lang w:eastAsia="en-GB"/>
        </w:rPr>
        <w:t>Waterfoot Medical Practice</w:t>
      </w:r>
      <w:r w:rsidRPr="001A20B9">
        <w:rPr>
          <w:rFonts w:ascii="Arial" w:hAnsi="Arial" w:cs="Arial"/>
          <w:sz w:val="24"/>
          <w:szCs w:val="24"/>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23C432B9"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08BDB0C1" w14:textId="1196BFA1" w:rsidR="00BF0067" w:rsidRDefault="00BF0067" w:rsidP="00B9097C">
      <w:pPr>
        <w:spacing w:after="0" w:line="240" w:lineRule="auto"/>
        <w:rPr>
          <w:rFonts w:ascii="Arial" w:hAnsi="Arial" w:cs="Arial"/>
          <w:sz w:val="24"/>
          <w:szCs w:val="24"/>
        </w:rPr>
      </w:pPr>
      <w:r w:rsidRPr="001A20B9">
        <w:rPr>
          <w:rFonts w:ascii="Arial" w:hAnsi="Arial" w:cs="Arial"/>
          <w:sz w:val="24"/>
          <w:szCs w:val="24"/>
        </w:rPr>
        <w:t>To request a copy or request access to information we hold about you and/or to request information to be corrected if it is inaccurate, please contact:</w:t>
      </w:r>
      <w:r w:rsidR="005F42BD">
        <w:rPr>
          <w:rFonts w:ascii="Arial" w:hAnsi="Arial" w:cs="Arial"/>
          <w:sz w:val="24"/>
          <w:szCs w:val="24"/>
        </w:rPr>
        <w:t xml:space="preserve"> </w:t>
      </w:r>
      <w:r w:rsidR="00240FA6">
        <w:rPr>
          <w:rFonts w:ascii="Arial" w:hAnsi="Arial" w:cs="Arial"/>
          <w:sz w:val="24"/>
          <w:szCs w:val="24"/>
        </w:rPr>
        <w:t xml:space="preserve">Gill </w:t>
      </w:r>
      <w:proofErr w:type="spellStart"/>
      <w:r w:rsidR="00240FA6">
        <w:rPr>
          <w:rFonts w:ascii="Arial" w:hAnsi="Arial" w:cs="Arial"/>
          <w:sz w:val="24"/>
          <w:szCs w:val="24"/>
        </w:rPr>
        <w:t>Barnard,</w:t>
      </w:r>
      <w:proofErr w:type="spellEnd"/>
      <w:r w:rsidR="005F42BD">
        <w:rPr>
          <w:rFonts w:ascii="Arial" w:hAnsi="Arial" w:cs="Arial"/>
          <w:sz w:val="24"/>
          <w:szCs w:val="24"/>
        </w:rPr>
        <w:t xml:space="preserve"> Practice Manager. </w:t>
      </w:r>
    </w:p>
    <w:p w14:paraId="71B0190D" w14:textId="77777777" w:rsidR="005F42BD" w:rsidRPr="001A20B9" w:rsidRDefault="005F42BD" w:rsidP="00B9097C">
      <w:pPr>
        <w:spacing w:after="0" w:line="240" w:lineRule="auto"/>
        <w:rPr>
          <w:rFonts w:ascii="Arial" w:hAnsi="Arial" w:cs="Arial"/>
          <w:sz w:val="24"/>
          <w:szCs w:val="24"/>
        </w:rPr>
      </w:pPr>
    </w:p>
    <w:p w14:paraId="76511032" w14:textId="7BB113DA"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240FA6" w:rsidRPr="00240FA6">
        <w:rPr>
          <w:rFonts w:ascii="Arial" w:eastAsia="Times New Roman" w:hAnsi="Arial" w:cs="Arial"/>
          <w:color w:val="333333"/>
          <w:sz w:val="24"/>
          <w:szCs w:val="24"/>
          <w:bdr w:val="none" w:sz="0" w:space="0" w:color="auto" w:frame="1"/>
          <w:shd w:val="clear" w:color="auto" w:fill="FFFFFF"/>
          <w:lang w:eastAsia="en-GB"/>
        </w:rPr>
        <w:t>Waterfoot Medical Practice</w:t>
      </w:r>
      <w:r w:rsidR="00240FA6" w:rsidRPr="001A20B9">
        <w:rPr>
          <w:rFonts w:ascii="Arial" w:hAnsi="Arial" w:cs="Arial"/>
          <w:sz w:val="24"/>
          <w:szCs w:val="24"/>
        </w:rPr>
        <w:t xml:space="preserv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lastRenderedPageBreak/>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lastRenderedPageBreak/>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68942ADF" w:rsidR="00375DD1" w:rsidRPr="007540A5" w:rsidRDefault="00375DD1" w:rsidP="003C5E88">
      <w:pPr>
        <w:widowControl w:val="0"/>
        <w:rPr>
          <w:rFonts w:ascii="Arial" w:hAnsi="Arial" w:cs="Arial"/>
          <w:sz w:val="24"/>
          <w:szCs w:val="24"/>
        </w:rPr>
      </w:pPr>
      <w:r w:rsidRPr="007540A5">
        <w:rPr>
          <w:rFonts w:ascii="Arial" w:hAnsi="Arial" w:cs="Arial"/>
          <w:sz w:val="24"/>
          <w:szCs w:val="24"/>
        </w:rPr>
        <w:t xml:space="preserve">Our data processor for Risk Stratification </w:t>
      </w:r>
      <w:proofErr w:type="gramStart"/>
      <w:r w:rsidRPr="007540A5">
        <w:rPr>
          <w:rFonts w:ascii="Arial" w:hAnsi="Arial" w:cs="Arial"/>
          <w:sz w:val="24"/>
          <w:szCs w:val="24"/>
        </w:rPr>
        <w:t>is:</w:t>
      </w:r>
      <w:proofErr w:type="gramEnd"/>
      <w:r w:rsidRPr="007540A5">
        <w:rPr>
          <w:rFonts w:ascii="Arial" w:hAnsi="Arial" w:cs="Arial"/>
          <w:sz w:val="24"/>
          <w:szCs w:val="24"/>
        </w:rPr>
        <w:t xml:space="preserve"> </w:t>
      </w:r>
      <w:r w:rsidR="007540A5" w:rsidRPr="007540A5">
        <w:rPr>
          <w:rFonts w:ascii="Arial" w:hAnsi="Arial" w:cs="Arial"/>
          <w:sz w:val="24"/>
          <w:szCs w:val="24"/>
        </w:rPr>
        <w:t>Aristotle Business Intelligence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lastRenderedPageBreak/>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w:t>
      </w:r>
      <w:r w:rsidR="00E44139" w:rsidRPr="001A20B9">
        <w:rPr>
          <w:rFonts w:ascii="Arial" w:hAnsi="Arial" w:cs="Arial"/>
          <w:sz w:val="24"/>
          <w:szCs w:val="24"/>
        </w:rPr>
        <w:lastRenderedPageBreak/>
        <w:t>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AE2E81"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AE2E81"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AE2E81"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0859F603"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w:t>
      </w:r>
      <w:r w:rsidRPr="007540A5">
        <w:rPr>
          <w:rFonts w:ascii="Arial" w:hAnsi="Arial" w:cs="Arial"/>
          <w:sz w:val="24"/>
          <w:szCs w:val="24"/>
        </w:rPr>
        <w:t>Our organisation is compliant</w:t>
      </w:r>
      <w:r w:rsidRPr="009F5B50">
        <w:rPr>
          <w:rFonts w:ascii="Arial" w:hAnsi="Arial" w:cs="Arial"/>
          <w:sz w:val="24"/>
          <w:szCs w:val="24"/>
        </w:rPr>
        <w:t xml:space="preserve"> with the national data opt-out </w:t>
      </w:r>
      <w:r w:rsidR="00AD732F" w:rsidRPr="009F5B50">
        <w:rPr>
          <w:rFonts w:ascii="Arial" w:hAnsi="Arial" w:cs="Arial"/>
          <w:sz w:val="24"/>
          <w:szCs w:val="24"/>
        </w:rPr>
        <w:t>policy.</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t>
      </w:r>
      <w:r w:rsidR="00DB4AF3" w:rsidRPr="009F5B50">
        <w:rPr>
          <w:rFonts w:ascii="Arial" w:hAnsi="Arial" w:cs="Arial"/>
          <w:sz w:val="24"/>
          <w:szCs w:val="24"/>
        </w:rPr>
        <w:lastRenderedPageBreak/>
        <w:t xml:space="preserve">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lastRenderedPageBreak/>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01725A75"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F24B7F">
        <w:rPr>
          <w:rFonts w:ascii="Arial" w:eastAsia="Times New Roman" w:hAnsi="Arial" w:cs="Arial"/>
          <w:color w:val="333333"/>
          <w:sz w:val="24"/>
          <w:szCs w:val="24"/>
          <w:bdr w:val="none" w:sz="0" w:space="0" w:color="auto" w:frame="1"/>
          <w:shd w:val="clear" w:color="auto" w:fill="FFFFFF"/>
          <w:lang w:eastAsia="en-GB"/>
        </w:rPr>
        <w:t>Waterfoot Medical Practice</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7113A71A"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F24B7F">
        <w:rPr>
          <w:rFonts w:ascii="Arial" w:hAnsi="Arial" w:cs="Arial"/>
          <w:sz w:val="24"/>
          <w:szCs w:val="24"/>
          <w:lang w:eastAsia="en-GB"/>
        </w:rPr>
        <w:t>Gill Barnard</w:t>
      </w:r>
      <w:r w:rsidR="009D1D5D" w:rsidRPr="009F5B50">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F24B7F">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 xml:space="preserve">there will be no change to the control of access to your data and the hosted service provider will not have any access to the decryption keys. AWS is one of the world’s largest cloud companies, already supporting numerous </w:t>
      </w:r>
      <w:r w:rsidRPr="009F5B50">
        <w:rPr>
          <w:rFonts w:ascii="Arial" w:hAnsi="Arial" w:cs="Arial"/>
        </w:rPr>
        <w:lastRenderedPageBreak/>
        <w:t>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FF2FC40"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4DF26151"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If a sub-</w:t>
      </w:r>
      <w:r w:rsidR="00A87B6C" w:rsidRPr="009F5B50">
        <w:rPr>
          <w:rFonts w:ascii="Arial" w:hAnsi="Arial" w:cs="Arial"/>
          <w:sz w:val="24"/>
          <w:szCs w:val="24"/>
        </w:rPr>
        <w:lastRenderedPageBreak/>
        <w:t xml:space="preserve">contractor acts as a data processor for </w:t>
      </w:r>
      <w:r w:rsidR="00F24B7F">
        <w:rPr>
          <w:rFonts w:ascii="Arial" w:eastAsia="Times New Roman" w:hAnsi="Arial" w:cs="Arial"/>
          <w:color w:val="333333"/>
          <w:sz w:val="24"/>
          <w:szCs w:val="24"/>
          <w:bdr w:val="none" w:sz="0" w:space="0" w:color="auto" w:frame="1"/>
          <w:shd w:val="clear" w:color="auto" w:fill="FFFFFF"/>
          <w:lang w:eastAsia="en-GB"/>
        </w:rPr>
        <w:t>Waterfoot Medical Practice</w:t>
      </w:r>
      <w:r w:rsidR="00F24B7F" w:rsidRPr="009F5B50">
        <w:rPr>
          <w:rFonts w:ascii="Arial" w:eastAsia="Times New Roman" w:hAnsi="Arial" w:cs="Arial"/>
          <w:color w:val="333333"/>
          <w:sz w:val="24"/>
          <w:szCs w:val="24"/>
          <w:bdr w:val="none" w:sz="0" w:space="0" w:color="auto" w:frame="1"/>
          <w:shd w:val="clear" w:color="auto" w:fill="FFFFFF"/>
          <w:lang w:eastAsia="en-GB"/>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518D50F9"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F24B7F">
        <w:rPr>
          <w:rFonts w:ascii="Arial" w:hAnsi="Arial" w:cs="Arial"/>
          <w:sz w:val="24"/>
          <w:szCs w:val="24"/>
        </w:rPr>
        <w:t xml:space="preserve">Shred-It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lastRenderedPageBreak/>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214BAC7D" w:rsidR="00C9447D" w:rsidRPr="009F5B50" w:rsidRDefault="00F24B7F" w:rsidP="00C14EAF">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t>Waterfoot Medical Practice</w:t>
      </w:r>
      <w:r w:rsidRPr="009F5B50">
        <w:rPr>
          <w:rFonts w:ascii="Arial" w:hAnsi="Arial" w:cs="Arial"/>
          <w:color w:val="333333"/>
          <w:bdr w:val="none" w:sz="0" w:space="0" w:color="auto" w:frame="1"/>
          <w:shd w:val="clear" w:color="auto" w:fill="FFFFFF"/>
        </w:rPr>
        <w:t xml:space="preserve"> </w:t>
      </w:r>
      <w:r w:rsidR="00C9447D" w:rsidRPr="009F5B50">
        <w:rPr>
          <w:rFonts w:ascii="Arial" w:hAnsi="Arial" w:cs="Arial"/>
        </w:rPr>
        <w:t xml:space="preserve">is a member of the </w:t>
      </w:r>
      <w:r>
        <w:rPr>
          <w:rFonts w:ascii="Arial" w:hAnsi="Arial" w:cs="Arial"/>
        </w:rPr>
        <w:t>Rossendale East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5E102745" w14:textId="77777777" w:rsidR="000E6C63" w:rsidRDefault="000E6C63" w:rsidP="000E6C63">
      <w:pPr>
        <w:pStyle w:val="selectionshareable"/>
        <w:spacing w:after="0"/>
        <w:rPr>
          <w:rFonts w:ascii="Arial" w:hAnsi="Arial" w:cs="Arial"/>
        </w:rPr>
      </w:pPr>
      <w:r w:rsidRPr="000E6C63">
        <w:rPr>
          <w:rFonts w:ascii="Arial" w:hAnsi="Arial" w:cs="Arial"/>
        </w:rPr>
        <w:t>Irwell Medical Practice</w:t>
      </w:r>
    </w:p>
    <w:p w14:paraId="6C3B4DFB" w14:textId="04DAEF04" w:rsidR="00930987" w:rsidRPr="009F5B50" w:rsidRDefault="000E6C63" w:rsidP="000E6C63">
      <w:pPr>
        <w:pStyle w:val="selectionshareable"/>
        <w:spacing w:after="0"/>
        <w:rPr>
          <w:rFonts w:ascii="Arial" w:hAnsi="Arial" w:cs="Arial"/>
        </w:rPr>
      </w:pPr>
      <w:r w:rsidRPr="000E6C63">
        <w:rPr>
          <w:rFonts w:ascii="Arial" w:hAnsi="Arial" w:cs="Arial"/>
        </w:rPr>
        <w:t>Whitworth Medical Practice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61E9BA56"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0E6C63">
        <w:rPr>
          <w:rFonts w:ascii="Arial" w:hAnsi="Arial" w:cs="Arial"/>
          <w:sz w:val="24"/>
          <w:szCs w:val="24"/>
        </w:rPr>
        <w:t>Gill Barnard</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lastRenderedPageBreak/>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AE2E81"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4BB4FDE2" w14:textId="33C5BF13" w:rsidR="004461B2" w:rsidRPr="00AE2E81" w:rsidRDefault="00154802" w:rsidP="00C14EAF">
      <w:pPr>
        <w:spacing w:line="240" w:lineRule="auto"/>
        <w:rPr>
          <w:rFonts w:ascii="Arial" w:hAnsi="Arial" w:cs="Arial"/>
          <w:sz w:val="24"/>
          <w:szCs w:val="24"/>
        </w:rPr>
      </w:pPr>
      <w:r w:rsidRPr="009F5B50">
        <w:rPr>
          <w:rFonts w:ascii="Arial" w:hAnsi="Arial" w:cs="Arial"/>
          <w:sz w:val="24"/>
          <w:szCs w:val="24"/>
        </w:rPr>
        <w:t xml:space="preserve">If </w:t>
      </w:r>
      <w:r w:rsidRPr="00AE2E81">
        <w:rPr>
          <w:rFonts w:ascii="Arial" w:hAnsi="Arial" w:cs="Arial"/>
          <w:sz w:val="24"/>
          <w:szCs w:val="24"/>
        </w:rPr>
        <w:t>you would like to know more about your rights in respect of the personal data</w:t>
      </w:r>
      <w:r w:rsidR="000839EB" w:rsidRPr="00AE2E81">
        <w:rPr>
          <w:rFonts w:ascii="Arial" w:hAnsi="Arial" w:cs="Arial"/>
          <w:sz w:val="24"/>
          <w:szCs w:val="24"/>
        </w:rPr>
        <w:t xml:space="preserve"> that</w:t>
      </w:r>
      <w:r w:rsidRPr="00AE2E81">
        <w:rPr>
          <w:rFonts w:ascii="Arial" w:hAnsi="Arial" w:cs="Arial"/>
          <w:sz w:val="24"/>
          <w:szCs w:val="24"/>
        </w:rPr>
        <w:t xml:space="preserve"> we hold about you, please </w:t>
      </w:r>
      <w:r w:rsidR="001E1D94" w:rsidRPr="00AE2E81">
        <w:rPr>
          <w:rFonts w:ascii="Arial" w:hAnsi="Arial" w:cs="Arial"/>
          <w:sz w:val="24"/>
          <w:szCs w:val="24"/>
        </w:rPr>
        <w:t>use the contact details below:</w:t>
      </w:r>
      <w:r w:rsidRPr="00AE2E81">
        <w:rPr>
          <w:rFonts w:ascii="Arial" w:hAnsi="Arial" w:cs="Arial"/>
          <w:sz w:val="24"/>
          <w:szCs w:val="24"/>
        </w:rPr>
        <w:t xml:space="preserve"> </w:t>
      </w:r>
    </w:p>
    <w:p w14:paraId="49BAE4A0" w14:textId="77777777" w:rsidR="00AE2E81" w:rsidRPr="00AE2E81" w:rsidRDefault="00AE2E81" w:rsidP="00AE2E81">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IG Lead:</w:t>
      </w:r>
    </w:p>
    <w:p w14:paraId="21E1A246" w14:textId="77777777" w:rsidR="00AE2E81" w:rsidRPr="00AE2E81" w:rsidRDefault="00AE2E81" w:rsidP="00AE2E81">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Gill Barnard</w:t>
      </w:r>
    </w:p>
    <w:p w14:paraId="681B0A3B" w14:textId="77777777" w:rsidR="00AE2E81" w:rsidRPr="00AE2E81" w:rsidRDefault="00AE2E81" w:rsidP="00AE2E81">
      <w:pPr>
        <w:pStyle w:val="NoSpacing"/>
        <w:shd w:val="clear" w:color="auto" w:fill="FFFFFF" w:themeFill="background1"/>
        <w:rPr>
          <w:rFonts w:ascii="Arial" w:hAnsi="Arial" w:cs="Arial"/>
          <w:b/>
          <w:bCs/>
          <w:sz w:val="24"/>
          <w:szCs w:val="24"/>
        </w:rPr>
      </w:pPr>
    </w:p>
    <w:p w14:paraId="7064591D" w14:textId="77777777" w:rsidR="00AE2E81" w:rsidRPr="00AE2E81" w:rsidRDefault="00AE2E81" w:rsidP="00AE2E81">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Caldicott Guardian:</w:t>
      </w:r>
    </w:p>
    <w:p w14:paraId="54BBAC03" w14:textId="77777777" w:rsidR="00AE2E81" w:rsidRPr="00AE2E81" w:rsidRDefault="00AE2E81" w:rsidP="00AE2E81">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Dr James Cowdery</w:t>
      </w:r>
    </w:p>
    <w:p w14:paraId="3EC2E04F" w14:textId="77777777" w:rsidR="00AE2E81" w:rsidRPr="00AE2E81" w:rsidRDefault="00AE2E81" w:rsidP="00AE2E81">
      <w:pPr>
        <w:pStyle w:val="NoSpacing"/>
        <w:shd w:val="clear" w:color="auto" w:fill="FFFFFF" w:themeFill="background1"/>
        <w:rPr>
          <w:rFonts w:ascii="Arial" w:hAnsi="Arial" w:cs="Arial"/>
          <w:b/>
          <w:bCs/>
          <w:sz w:val="24"/>
          <w:szCs w:val="24"/>
        </w:rPr>
      </w:pPr>
    </w:p>
    <w:p w14:paraId="5523FBC8" w14:textId="77777777" w:rsidR="00AE2E81" w:rsidRPr="00AE2E81" w:rsidRDefault="00AE2E81" w:rsidP="00AE2E81">
      <w:pPr>
        <w:pStyle w:val="NoSpacing"/>
        <w:shd w:val="clear" w:color="auto" w:fill="FFFFFF" w:themeFill="background1"/>
        <w:rPr>
          <w:rFonts w:ascii="Arial" w:hAnsi="Arial" w:cs="Arial"/>
          <w:b/>
          <w:bCs/>
          <w:sz w:val="24"/>
          <w:szCs w:val="24"/>
          <w:lang w:eastAsia="en-GB"/>
        </w:rPr>
      </w:pPr>
      <w:r w:rsidRPr="00AE2E81">
        <w:rPr>
          <w:rFonts w:ascii="Arial" w:hAnsi="Arial" w:cs="Arial"/>
          <w:b/>
          <w:bCs/>
          <w:sz w:val="24"/>
          <w:szCs w:val="24"/>
          <w:lang w:eastAsia="en-GB"/>
        </w:rPr>
        <w:t>Data Protection Officer:</w:t>
      </w:r>
    </w:p>
    <w:p w14:paraId="607F13A0" w14:textId="77777777" w:rsidR="00AE2E81" w:rsidRPr="00AE2E81" w:rsidRDefault="00AE2E81" w:rsidP="00AE2E81">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Hayley Gidman</w:t>
      </w:r>
    </w:p>
    <w:p w14:paraId="0620D784" w14:textId="77777777" w:rsidR="00AE2E81" w:rsidRPr="00AE2E81" w:rsidRDefault="00AE2E81" w:rsidP="00AE2E81">
      <w:pPr>
        <w:pStyle w:val="NoSpacing"/>
        <w:rPr>
          <w:rFonts w:ascii="Arial" w:hAnsi="Arial" w:cs="Arial"/>
          <w:b/>
          <w:bCs/>
          <w:sz w:val="24"/>
          <w:szCs w:val="24"/>
        </w:rPr>
      </w:pPr>
      <w:hyperlink r:id="rId23" w:history="1">
        <w:r w:rsidRPr="00AE2E81">
          <w:rPr>
            <w:rStyle w:val="Hyperlink"/>
            <w:rFonts w:ascii="Arial" w:hAnsi="Arial" w:cs="Arial"/>
            <w:b/>
            <w:bCs/>
            <w:sz w:val="24"/>
            <w:szCs w:val="24"/>
          </w:rPr>
          <w:t>mlcsu.dpo@nhs.net</w:t>
        </w:r>
      </w:hyperlink>
    </w:p>
    <w:p w14:paraId="34F89621" w14:textId="77777777" w:rsidR="00AE2E81" w:rsidRPr="00AE2E81" w:rsidRDefault="00AE2E81" w:rsidP="00AE2E81">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01782872648</w:t>
      </w:r>
    </w:p>
    <w:p w14:paraId="371B4B4E" w14:textId="2D24CC2C" w:rsidR="008039D4" w:rsidRPr="009F5B50" w:rsidRDefault="008039D4" w:rsidP="001E1D94">
      <w:pPr>
        <w:pStyle w:val="NoSpacing"/>
        <w:rPr>
          <w:rFonts w:ascii="Arial" w:hAnsi="Arial" w:cs="Arial"/>
          <w:b/>
          <w:bCs/>
          <w:sz w:val="24"/>
          <w:szCs w:val="24"/>
        </w:rPr>
      </w:pP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AE2E81"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AE2E81"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AE2E81"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AE2E81"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AE2E81"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AE2E81"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AE2E81"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D53A" w14:textId="77777777" w:rsidR="00FB1233" w:rsidRDefault="00FB1233" w:rsidP="00B578E2">
      <w:pPr>
        <w:spacing w:after="0" w:line="240" w:lineRule="auto"/>
      </w:pPr>
      <w:r>
        <w:separator/>
      </w:r>
    </w:p>
  </w:endnote>
  <w:endnote w:type="continuationSeparator" w:id="0">
    <w:p w14:paraId="078A10DC" w14:textId="77777777" w:rsidR="00FB1233" w:rsidRDefault="00FB123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7ED74B66" w:rsidR="00FE7672" w:rsidRPr="00240FA6" w:rsidRDefault="00C56E68">
    <w:pPr>
      <w:pStyle w:val="Footer"/>
      <w:rPr>
        <w:sz w:val="20"/>
        <w:szCs w:val="20"/>
      </w:rPr>
    </w:pPr>
    <w:r>
      <w:t>Patient Privacy Notice</w:t>
    </w:r>
    <w:r w:rsidR="00C6749C">
      <w:tab/>
    </w:r>
    <w:r w:rsidR="00AD732F">
      <w:t>August 2022</w:t>
    </w:r>
    <w:r w:rsidR="00C6749C">
      <w:tab/>
    </w:r>
    <w:r w:rsidR="00240FA6" w:rsidRPr="00240FA6">
      <w:rPr>
        <w:rFonts w:asciiTheme="minorHAnsi" w:eastAsia="Times New Roman" w:hAnsiTheme="minorHAnsi" w:cstheme="minorHAnsi"/>
        <w:color w:val="333333"/>
        <w:bdr w:val="none" w:sz="0" w:space="0" w:color="auto" w:frame="1"/>
        <w:shd w:val="clear" w:color="auto" w:fill="FFFFFF"/>
        <w:lang w:eastAsia="en-GB"/>
      </w:rPr>
      <w:t>Waterfoot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ED8F" w14:textId="77777777" w:rsidR="00FB1233" w:rsidRDefault="00FB1233" w:rsidP="00B578E2">
      <w:pPr>
        <w:spacing w:after="0" w:line="240" w:lineRule="auto"/>
      </w:pPr>
      <w:r>
        <w:separator/>
      </w:r>
    </w:p>
  </w:footnote>
  <w:footnote w:type="continuationSeparator" w:id="0">
    <w:p w14:paraId="21860BEB" w14:textId="77777777" w:rsidR="00FB1233" w:rsidRDefault="00FB123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22"/>
  </w:num>
  <w:num w:numId="4">
    <w:abstractNumId w:val="10"/>
  </w:num>
  <w:num w:numId="5">
    <w:abstractNumId w:val="1"/>
  </w:num>
  <w:num w:numId="6">
    <w:abstractNumId w:val="33"/>
  </w:num>
  <w:num w:numId="7">
    <w:abstractNumId w:val="4"/>
  </w:num>
  <w:num w:numId="8">
    <w:abstractNumId w:val="2"/>
  </w:num>
  <w:num w:numId="9">
    <w:abstractNumId w:val="17"/>
  </w:num>
  <w:num w:numId="10">
    <w:abstractNumId w:val="0"/>
  </w:num>
  <w:num w:numId="11">
    <w:abstractNumId w:val="11"/>
  </w:num>
  <w:num w:numId="12">
    <w:abstractNumId w:val="29"/>
  </w:num>
  <w:num w:numId="13">
    <w:abstractNumId w:val="8"/>
  </w:num>
  <w:num w:numId="14">
    <w:abstractNumId w:val="35"/>
  </w:num>
  <w:num w:numId="15">
    <w:abstractNumId w:val="19"/>
  </w:num>
  <w:num w:numId="16">
    <w:abstractNumId w:val="28"/>
  </w:num>
  <w:num w:numId="17">
    <w:abstractNumId w:val="16"/>
  </w:num>
  <w:num w:numId="18">
    <w:abstractNumId w:val="36"/>
  </w:num>
  <w:num w:numId="19">
    <w:abstractNumId w:val="27"/>
  </w:num>
  <w:num w:numId="20">
    <w:abstractNumId w:val="9"/>
  </w:num>
  <w:num w:numId="21">
    <w:abstractNumId w:val="6"/>
  </w:num>
  <w:num w:numId="22">
    <w:abstractNumId w:val="5"/>
  </w:num>
  <w:num w:numId="23">
    <w:abstractNumId w:val="34"/>
  </w:num>
  <w:num w:numId="24">
    <w:abstractNumId w:val="23"/>
  </w:num>
  <w:num w:numId="25">
    <w:abstractNumId w:val="12"/>
  </w:num>
  <w:num w:numId="26">
    <w:abstractNumId w:val="20"/>
  </w:num>
  <w:num w:numId="27">
    <w:abstractNumId w:val="31"/>
  </w:num>
  <w:num w:numId="28">
    <w:abstractNumId w:val="3"/>
  </w:num>
  <w:num w:numId="29">
    <w:abstractNumId w:val="30"/>
  </w:num>
  <w:num w:numId="30">
    <w:abstractNumId w:val="14"/>
  </w:num>
  <w:num w:numId="31">
    <w:abstractNumId w:val="24"/>
  </w:num>
  <w:num w:numId="32">
    <w:abstractNumId w:val="21"/>
  </w:num>
  <w:num w:numId="33">
    <w:abstractNumId w:val="18"/>
  </w:num>
  <w:num w:numId="34">
    <w:abstractNumId w:val="15"/>
  </w:num>
  <w:num w:numId="35">
    <w:abstractNumId w:val="26"/>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E6C63"/>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0FA6"/>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2BD"/>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0A5"/>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2E81"/>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4B7F"/>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6b3db68-315d-4c13-8ec0-27837b5d9526" xsi:nil="true"/>
    <_ip_UnifiedCompliancePolicyProperties xmlns="http://schemas.microsoft.com/sharepoint/v3" xsi:nil="true"/>
    <lcf76f155ced4ddcb4097134ff3c332f xmlns="01c12a10-c92b-41f7-8218-1034c5127f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6D749D9CA3B7439BF77A7A2EC030E5" ma:contentTypeVersion="18" ma:contentTypeDescription="Create a new document." ma:contentTypeScope="" ma:versionID="aabab9182f90f90ce81dc980e6b647ea">
  <xsd:schema xmlns:xsd="http://www.w3.org/2001/XMLSchema" xmlns:xs="http://www.w3.org/2001/XMLSchema" xmlns:p="http://schemas.microsoft.com/office/2006/metadata/properties" xmlns:ns1="http://schemas.microsoft.com/sharepoint/v3" xmlns:ns2="01c12a10-c92b-41f7-8218-1034c5127f1f" xmlns:ns3="d6b3db68-315d-4c13-8ec0-27837b5d9526" targetNamespace="http://schemas.microsoft.com/office/2006/metadata/properties" ma:root="true" ma:fieldsID="c4acdd152e66ed958d81e8b75490b4aa" ns1:_="" ns2:_="" ns3:_="">
    <xsd:import namespace="http://schemas.microsoft.com/sharepoint/v3"/>
    <xsd:import namespace="01c12a10-c92b-41f7-8218-1034c5127f1f"/>
    <xsd:import namespace="d6b3db68-315d-4c13-8ec0-27837b5d952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12a10-c92b-41f7-8218-1034c5127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b3db68-315d-4c13-8ec0-27837b5d95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3a2385-abf1-41f9-854a-284018060d99}" ma:internalName="TaxCatchAll" ma:showField="CatchAllData" ma:web="d6b3db68-315d-4c13-8ec0-27837b5d9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http://schemas.microsoft.com/sharepoint/v3"/>
    <ds:schemaRef ds:uri="d6b3db68-315d-4c13-8ec0-27837b5d9526"/>
    <ds:schemaRef ds:uri="01c12a10-c92b-41f7-8218-1034c5127f1f"/>
  </ds:schemaRefs>
</ds:datastoreItem>
</file>

<file path=customXml/itemProps2.xml><?xml version="1.0" encoding="utf-8"?>
<ds:datastoreItem xmlns:ds="http://schemas.openxmlformats.org/officeDocument/2006/customXml" ds:itemID="{243905D4-C407-447E-8826-1530FED2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c12a10-c92b-41f7-8218-1034c5127f1f"/>
    <ds:schemaRef ds:uri="d6b3db68-315d-4c13-8ec0-27837b5d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4119DFE6-315B-456A-88BC-6313B75B5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BARNARD, Gill (NHS LANCASHIRE AND SOUTH CUMBRIA ICB - 01A)</cp:lastModifiedBy>
  <cp:revision>8</cp:revision>
  <cp:lastPrinted>2019-06-13T09:46:00Z</cp:lastPrinted>
  <dcterms:created xsi:type="dcterms:W3CDTF">2022-07-29T13:08:00Z</dcterms:created>
  <dcterms:modified xsi:type="dcterms:W3CDTF">2022-12-09T13:04:00Z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y fmtid="{D5CDD505-2E9C-101B-9397-08002B2CF9AE}" pid="4" name="MediaServiceImageTags">
    <vt:lpwstr/>
  </property>
</Properties>
</file>